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F4" w:rsidRPr="00C834B8" w:rsidRDefault="004075F4" w:rsidP="000612FB">
      <w:pPr>
        <w:spacing w:before="0" w:beforeAutospacing="0" w:after="0" w:afterAutospacing="0" w:line="276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834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БЕЛОЕ ДВИЖЕНИЕ В НИЖЕГОРОДСКОМ КРАЕ</w:t>
      </w:r>
    </w:p>
    <w:p w:rsidR="000612FB" w:rsidRPr="000612FB" w:rsidRDefault="000612FB" w:rsidP="000612FB">
      <w:pPr>
        <w:spacing w:before="0" w:beforeAutospacing="0" w:after="0" w:afterAutospacing="0" w:line="276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75F4" w:rsidRPr="000612FB" w:rsidRDefault="004075F4" w:rsidP="000612FB">
      <w:pPr>
        <w:spacing w:before="0" w:beforeAutospacing="0" w:after="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августе 1918 года офицеры «Союза защиты Родины и Свободы» подняли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Уренский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белогвардейский мятеж. Несколько батальонов восставших захватили город. С фронта были сняты части Красной Армии с артиллерией и аэропланами. После разгрома часть белых ушла в Казань, а остальные действовали в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Вахромеевской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волости (Тонкинский район). Их возглавляли офицеры: М. С.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Галочкин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М. П. </w:t>
      </w:r>
      <w:proofErr w:type="gram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Голубев</w:t>
      </w:r>
      <w:proofErr w:type="gram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 Ф.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Горячкин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А. Ф. Нестеров и Кочетов.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феврале 1919 года они уничтожили продотряд в 26 человек. Их набегам подверглись военные комиссариаты, почты, телефонные станции, банки и заводы. Всего за 1918 год вспыхнуло 40 восстаний в Нижегородском крае. Их причинами были призыв в армию и жестокая продразвёрстка, реж</w:t>
      </w:r>
      <w:proofErr w:type="gram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идеологические причины.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Семеновском уезде «белых партизан» возглавлял Л.В. Успенский. Т. н. « Семеновский белогвардейский батальон» активно добывал оружие. Нападая на органы государственной  власти, его бойцы убивали коммунистов и сочувствующих. Местное население активно снабжало отряд информацией. Лишь к концу 1919 г. с отрядом Успенского было покончено, а сам Успенский был расстрелян. В это же время был разбит отряд белогвардейских партизан у станции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Суроватиха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причем этот отряд дислоцировался в Мало-Печерском женском монастыре</w:t>
      </w:r>
      <w:proofErr w:type="gram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были найдены эсеровская литература  и листовки.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отменой продразверстки сопротивление пошло на убыль, в губернии остались лишь мелкие банды, в основном из дезертиров. Борьба с ними велась силами ЧК и милиции.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состав данных формирований составляли дезертиры и недовольные продразверсткой. Поскольку эти люди не имели четкой идеологии, их действия быстро выродились в банальную </w:t>
      </w:r>
      <w:proofErr w:type="gram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уголовщину</w:t>
      </w:r>
      <w:proofErr w:type="gram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 е.  в «зеленое» движение.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 такие банды просуществовали до середины 1920-х годов.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75F4" w:rsidRDefault="004075F4" w:rsidP="000612FB">
      <w:pPr>
        <w:spacing w:before="0" w:beforeAutospacing="0" w:after="120" w:afterAutospacing="0" w:line="276" w:lineRule="auto"/>
        <w:ind w:firstLine="85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Радьков А. Г., старший научный сотрудник музея истории правоохранительных органов и Вооруженных сил НРО ОГО ВФСО «Динамо»</w:t>
      </w:r>
    </w:p>
    <w:p w:rsidR="000612FB" w:rsidRPr="000612FB" w:rsidRDefault="000612FB" w:rsidP="000612FB">
      <w:pPr>
        <w:spacing w:before="0" w:beforeAutospacing="0" w:after="120" w:afterAutospacing="0" w:line="276" w:lineRule="auto"/>
        <w:ind w:firstLine="85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075F4" w:rsidRPr="00E63A97" w:rsidRDefault="000612FB" w:rsidP="000612FB">
      <w:pPr>
        <w:spacing w:before="0" w:beforeAutospacing="0" w:after="0" w:afterAutospacing="0" w:line="276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63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НИЖЕГОРОДСКИЙ КРАЙ В </w:t>
      </w:r>
      <w:r w:rsidR="004075F4" w:rsidRPr="00E63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ГРАЖДАНСКУЮ ВОЙНУ</w:t>
      </w:r>
    </w:p>
    <w:p w:rsidR="00E63A97" w:rsidRPr="000612FB" w:rsidRDefault="00E63A97" w:rsidP="000612FB">
      <w:pPr>
        <w:spacing w:before="0" w:beforeAutospacing="0" w:after="0" w:afterAutospacing="0" w:line="276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начале 1918 года личный состав старой российской армии был деморализован.  В Нижнем Новгороде отмечались случаи грабежей и иных правонарушений  с участием военнослужащих. Для прекращения перестрелки между группой солдат в центре города пришлось даже вызывать броневик губернского военного комиссара.  Хотя новые красноармейские части формировались на базе старых войсковых частей, 160 бывших офицеров дали </w:t>
      </w: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согласие пойти в новую армию военспецами. Части РККА усилили в общей сложности тысячей большевиков, комсомольцами и активистами профсоюзов нижегородских заводов. В начале августа 1918 года Реввоенсовет поставил перед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губвоенкомом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местными партийными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органамами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задачу  сформировать полноценную дивизию в 30 тысяч бойцов. На военную службу был призван контингент из граждан 1890 — 1900 годов рождения. В губернии создали три дивизиона полковой и один дивизион гаубичной артиллерии, изыскали 24 аэроплана. Большую часть оружия пришлось ремонтировать, так как за время анархии в армии артиллерийские орудия пришли в негодность.  Дивизия получила порядковый номер 11 и была направлена на Южный фронт в состав действующей 9-й армии.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  время гражданской  войны были сформированы 39–й  полк 5-й дивизии, отдельные части для 11-й дивизии , 7-й , 4-й полки Петроградской  дивизии.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июня 1918 года  Нижний  Новгород становится  базой Волжской военной флотилии.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 флотилии, Н. Г. Маркин, привез из Балтийского флота вооружение, которое на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Сормовском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заводе устанавливалось на буксиры и баржи. Прибытие на укомплектование флотилии матросов Балтийского и Черноморского флотов резко обострило криминальную обстановку в городе.  На помощь милиции направлялись чекисты и гарнизонные патрули.  Экипажи судов усиливались  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сормовскими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рабочими.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захвата Казани в Нижегородском  Кремле были установлены 130–мм орудия с Балтики. На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Сормовском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заводе за это время было произведено  15 бронепоездов , 30 бронеплощадок. К 1920 году  были выпущены 15 танков типа «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Reno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 , но в боях участия они  не принимали.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Активно шло формирование частей особого назначения (ЧОН</w:t>
      </w:r>
      <w:proofErr w:type="gram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)-</w:t>
      </w:r>
      <w:proofErr w:type="gram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чекистских отрядов, своего рода прообраза внутренних войск. В 1918 году  в Нижегородской губернии эти отряды самостоятельно и совместно с частями РККА подавили около 40 восстаний, боролись с бандами дезертиров, превратившихся в обыкновенных уголовников. В условиях близости фронта Нижним Новгородом  с 10 августа по 10 сентября 1918 года руководил Военно-революционный комитет. В городе начался террор; все офицеры, отказавшиеся служить в Красной Армии, подлежали расстрелу. Началось формирование десяти крупных продотрядов. В 1920 году  были организованы 24 продотряда, их «добыча» составила 121400 пудов хлеба. В течение всего 1920 года продолжалось формирование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ЧОНов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пополнение этих частей  составило 242 человека, в их числе был и 14-летний Аркадий Голиков (будущий Гайдар).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В ноябре 1918 года были созданы пехотные курсы красных командиров, переименованные в 1919 году в Пехотную школу красных командиров. В  ходе тяжелых боев 1919 года школа в полном  составе использовалась на Южном фронте.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 июнь 1920 года на фронт было отправлено 11, 5 тыс. красноармейцев. В  гарнизоне Нижнего Новгорода насчитывалось 92 тыс. командиров и красноармейцев. В 1920 году было организовано 56 отрядов частей особого назначения в составе 3114 бойцов. К 1920 году только </w:t>
      </w:r>
      <w:proofErr w:type="spellStart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Сормовский</w:t>
      </w:r>
      <w:proofErr w:type="spellEnd"/>
      <w:r w:rsidRPr="000612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завод  выпустил  30 бронепоездов и 30 бронеплощадок, платформы для орудий, переоборудовал и вооружил 97 судов.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Радьков А. Г., старший научный сотрудник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музея истории правоохранительных органов и Вооруженных сил</w:t>
      </w:r>
    </w:p>
    <w:p w:rsidR="004075F4" w:rsidRPr="000612FB" w:rsidRDefault="004075F4" w:rsidP="000612FB">
      <w:pPr>
        <w:spacing w:before="0" w:beforeAutospacing="0" w:after="120" w:afterAutospacing="0" w:line="276" w:lineRule="auto"/>
        <w:ind w:firstLine="85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12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НРО ОГО ВФСО «Динамо»</w:t>
      </w:r>
    </w:p>
    <w:p w:rsidR="00BB1C1F" w:rsidRPr="00BB1C1F" w:rsidRDefault="00BB1C1F" w:rsidP="00BB1C1F">
      <w:pPr>
        <w:spacing w:before="60" w:beforeAutospacing="0" w:after="0" w:afterAutospacing="0" w:line="276" w:lineRule="auto"/>
        <w:ind w:firstLine="851"/>
        <w:rPr>
          <w:rFonts w:ascii="Arial" w:hAnsi="Arial" w:cs="Arial"/>
          <w:b/>
          <w:sz w:val="24"/>
          <w:szCs w:val="24"/>
        </w:rPr>
      </w:pPr>
      <w:r w:rsidRPr="00BB1C1F">
        <w:rPr>
          <w:rFonts w:ascii="Arial" w:hAnsi="Arial" w:cs="Arial"/>
          <w:b/>
          <w:sz w:val="24"/>
          <w:szCs w:val="24"/>
        </w:rPr>
        <w:t xml:space="preserve">Справка: </w:t>
      </w:r>
    </w:p>
    <w:p w:rsidR="00BB1C1F" w:rsidRPr="00BB1C1F" w:rsidRDefault="00BB1C1F" w:rsidP="00BB1C1F">
      <w:pPr>
        <w:spacing w:before="60" w:beforeAutospacing="0" w:after="0" w:afterAutospacing="0" w:line="276" w:lineRule="auto"/>
        <w:ind w:firstLine="851"/>
        <w:rPr>
          <w:rFonts w:ascii="Arial" w:hAnsi="Arial" w:cs="Arial"/>
          <w:sz w:val="24"/>
          <w:szCs w:val="24"/>
        </w:rPr>
      </w:pPr>
      <w:r w:rsidRPr="00BB1C1F">
        <w:rPr>
          <w:rFonts w:ascii="Arial" w:hAnsi="Arial" w:cs="Arial"/>
          <w:sz w:val="24"/>
          <w:szCs w:val="24"/>
        </w:rPr>
        <w:t>В 1919 г. генерал Ма</w:t>
      </w:r>
      <w:bookmarkStart w:id="0" w:name="_GoBack"/>
      <w:bookmarkEnd w:id="0"/>
      <w:r w:rsidRPr="00BB1C1F">
        <w:rPr>
          <w:rFonts w:ascii="Arial" w:hAnsi="Arial" w:cs="Arial"/>
          <w:sz w:val="24"/>
          <w:szCs w:val="24"/>
        </w:rPr>
        <w:t>монтов предпринял рейд по тылам Красной армии</w:t>
      </w:r>
      <w:r w:rsidRPr="00BB1C1F">
        <w:rPr>
          <w:rFonts w:ascii="Arial" w:hAnsi="Arial" w:cs="Arial"/>
          <w:b/>
          <w:sz w:val="24"/>
          <w:szCs w:val="24"/>
        </w:rPr>
        <w:t xml:space="preserve">, </w:t>
      </w:r>
      <w:r w:rsidRPr="00BB1C1F">
        <w:rPr>
          <w:rFonts w:ascii="Arial" w:hAnsi="Arial" w:cs="Arial"/>
          <w:sz w:val="24"/>
          <w:szCs w:val="24"/>
        </w:rPr>
        <w:t xml:space="preserve">которая была деморализована. </w:t>
      </w:r>
    </w:p>
    <w:p w:rsidR="00BB1C1F" w:rsidRPr="00BB1C1F" w:rsidRDefault="00BB1C1F" w:rsidP="00BB1C1F">
      <w:pPr>
        <w:spacing w:before="60" w:beforeAutospacing="0" w:after="0" w:afterAutospacing="0" w:line="276" w:lineRule="auto"/>
        <w:ind w:firstLine="851"/>
        <w:rPr>
          <w:rFonts w:ascii="Arial" w:hAnsi="Arial" w:cs="Arial"/>
          <w:b/>
          <w:sz w:val="24"/>
          <w:szCs w:val="24"/>
        </w:rPr>
      </w:pPr>
      <w:r w:rsidRPr="00BB1C1F">
        <w:rPr>
          <w:rFonts w:ascii="Arial" w:hAnsi="Arial" w:cs="Arial"/>
          <w:sz w:val="24"/>
          <w:szCs w:val="24"/>
        </w:rPr>
        <w:t xml:space="preserve">Мамонтову? Казаки, составлявшие большую часть отряда, наворовали столько, что заявили, что дальше не пойдут – домой нужно обозы с добром отогнать. И повернули назад. </w:t>
      </w:r>
    </w:p>
    <w:p w:rsidR="00BB1C1F" w:rsidRPr="00DA369F" w:rsidRDefault="00BB1C1F" w:rsidP="00BB1C1F">
      <w:pPr>
        <w:spacing w:before="60" w:beforeAutospacing="0" w:after="0" w:afterAutospacing="0"/>
        <w:ind w:firstLine="851"/>
        <w:rPr>
          <w:b/>
          <w:sz w:val="20"/>
          <w:szCs w:val="20"/>
        </w:rPr>
      </w:pPr>
    </w:p>
    <w:p w:rsidR="00BB1C1F" w:rsidRPr="002B49C2" w:rsidRDefault="00BB1C1F" w:rsidP="00BB1C1F">
      <w:pPr>
        <w:spacing w:before="60" w:beforeAutospacing="0" w:after="0" w:afterAutospacing="0"/>
        <w:rPr>
          <w:b/>
          <w:sz w:val="20"/>
          <w:szCs w:val="20"/>
        </w:rPr>
      </w:pPr>
    </w:p>
    <w:p w:rsidR="00BB1C1F" w:rsidRPr="00BE46C7" w:rsidRDefault="00BB1C1F" w:rsidP="00BB1C1F"/>
    <w:p w:rsidR="00CB4479" w:rsidRPr="000612FB" w:rsidRDefault="00CB4479" w:rsidP="000612FB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sectPr w:rsidR="00CB4479" w:rsidRPr="000612FB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91" w:rsidRDefault="00BC6A91" w:rsidP="000612FB">
      <w:pPr>
        <w:spacing w:before="0" w:after="0"/>
      </w:pPr>
      <w:r>
        <w:separator/>
      </w:r>
    </w:p>
  </w:endnote>
  <w:endnote w:type="continuationSeparator" w:id="0">
    <w:p w:rsidR="00BC6A91" w:rsidRDefault="00BC6A91" w:rsidP="000612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91" w:rsidRDefault="00BC6A91" w:rsidP="000612FB">
      <w:pPr>
        <w:spacing w:before="0" w:after="0"/>
      </w:pPr>
      <w:r>
        <w:separator/>
      </w:r>
    </w:p>
  </w:footnote>
  <w:footnote w:type="continuationSeparator" w:id="0">
    <w:p w:rsidR="00BC6A91" w:rsidRDefault="00BC6A91" w:rsidP="000612F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5F4"/>
    <w:rsid w:val="000612FB"/>
    <w:rsid w:val="000E1F00"/>
    <w:rsid w:val="00340311"/>
    <w:rsid w:val="003958D5"/>
    <w:rsid w:val="004075F4"/>
    <w:rsid w:val="00696EF9"/>
    <w:rsid w:val="00706599"/>
    <w:rsid w:val="00782BEF"/>
    <w:rsid w:val="00B7038E"/>
    <w:rsid w:val="00BB1C1F"/>
    <w:rsid w:val="00BC6A91"/>
    <w:rsid w:val="00C466C0"/>
    <w:rsid w:val="00C834B8"/>
    <w:rsid w:val="00CB4479"/>
    <w:rsid w:val="00E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F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612FB"/>
  </w:style>
  <w:style w:type="paragraph" w:styleId="a5">
    <w:name w:val="footer"/>
    <w:basedOn w:val="a"/>
    <w:link w:val="a6"/>
    <w:uiPriority w:val="99"/>
    <w:unhideWhenUsed/>
    <w:rsid w:val="000612F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6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2016-10-29T19:20:00Z</dcterms:created>
  <dcterms:modified xsi:type="dcterms:W3CDTF">2016-10-29T19:20:00Z</dcterms:modified>
</cp:coreProperties>
</file>